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4A8" w:rsidRPr="00AC0ACE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  <w:r w:rsidRPr="00AC0ACE">
        <w:rPr>
          <w:rFonts w:ascii="Arial" w:hAnsi="Arial" w:cs="Arial"/>
          <w:i/>
          <w:lang w:val="en-US"/>
        </w:rPr>
        <w:t>Figure 1. Patient nose cutaneous necrosis on admission day of Internal Medicine department.</w:t>
      </w:r>
    </w:p>
    <w:p w:rsidR="000634A8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</w:p>
    <w:p w:rsidR="00AC0ACE" w:rsidRPr="00AC0ACE" w:rsidRDefault="00AC0ACE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</w:p>
    <w:p w:rsidR="000634A8" w:rsidRPr="00AC0ACE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  <w:r w:rsidRPr="00AC0ACE">
        <w:rPr>
          <w:rFonts w:ascii="Arial" w:hAnsi="Arial" w:cs="Arial"/>
          <w:i/>
          <w:lang w:val="en-US"/>
        </w:rPr>
        <w:t>Figure 2. Skin biopsy (hematoxylin and eosin stain). Small-size vessels of papillary dermis (A) and reticular dermis (B) occluded with homogeneous eosinophilic material corresponding to fibrin (arrows). No evidence of vasculitis on vessels walls.</w:t>
      </w:r>
    </w:p>
    <w:p w:rsidR="000634A8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</w:p>
    <w:p w:rsidR="00AC0ACE" w:rsidRPr="00AC0ACE" w:rsidRDefault="00AC0ACE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</w:p>
    <w:p w:rsidR="000634A8" w:rsidRPr="00AC0ACE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  <w:r w:rsidRPr="00AC0ACE">
        <w:rPr>
          <w:rFonts w:ascii="Arial" w:hAnsi="Arial" w:cs="Arial"/>
          <w:i/>
          <w:lang w:val="en-US"/>
        </w:rPr>
        <w:t xml:space="preserve">Figure 3. Nose cutaneous necrosis after 3 days of methylprednisolone (1 g/day). It is visible the improvement on peripheral areas of the lesion. </w:t>
      </w:r>
    </w:p>
    <w:p w:rsidR="000634A8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</w:p>
    <w:p w:rsidR="00AC0ACE" w:rsidRPr="00AC0ACE" w:rsidRDefault="00AC0ACE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  <w:bookmarkStart w:id="0" w:name="_GoBack"/>
      <w:bookmarkEnd w:id="0"/>
    </w:p>
    <w:p w:rsidR="000634A8" w:rsidRPr="00AC0ACE" w:rsidRDefault="000634A8" w:rsidP="000634A8">
      <w:pPr>
        <w:spacing w:after="0" w:line="480" w:lineRule="auto"/>
        <w:jc w:val="both"/>
        <w:rPr>
          <w:rFonts w:ascii="Arial" w:hAnsi="Arial" w:cs="Arial"/>
          <w:i/>
          <w:lang w:val="en-US"/>
        </w:rPr>
      </w:pPr>
      <w:r w:rsidRPr="00AC0ACE">
        <w:rPr>
          <w:rFonts w:ascii="Arial" w:hAnsi="Arial" w:cs="Arial"/>
          <w:i/>
          <w:lang w:val="en-US"/>
        </w:rPr>
        <w:t xml:space="preserve">Figure 4. Evolution of skin necrosis, under </w:t>
      </w:r>
      <w:proofErr w:type="spellStart"/>
      <w:r w:rsidRPr="00AC0ACE">
        <w:rPr>
          <w:rFonts w:ascii="Arial" w:hAnsi="Arial" w:cs="Arial"/>
          <w:i/>
          <w:lang w:val="en-US"/>
        </w:rPr>
        <w:t>hypocoagulation</w:t>
      </w:r>
      <w:proofErr w:type="spellEnd"/>
      <w:r w:rsidRPr="00AC0ACE">
        <w:rPr>
          <w:rFonts w:ascii="Arial" w:hAnsi="Arial" w:cs="Arial"/>
          <w:i/>
          <w:lang w:val="en-US"/>
        </w:rPr>
        <w:t xml:space="preserve"> and immunosuppression, during 13 days.</w:t>
      </w:r>
    </w:p>
    <w:p w:rsidR="003673E7" w:rsidRPr="000634A8" w:rsidRDefault="003673E7" w:rsidP="000634A8">
      <w:pPr>
        <w:rPr>
          <w:lang w:val="en-US"/>
        </w:rPr>
      </w:pPr>
    </w:p>
    <w:sectPr w:rsidR="003673E7" w:rsidRPr="000634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7E1"/>
    <w:rsid w:val="000634A8"/>
    <w:rsid w:val="001307E1"/>
    <w:rsid w:val="003673E7"/>
    <w:rsid w:val="00AC0ACE"/>
    <w:rsid w:val="00BE7E9E"/>
    <w:rsid w:val="00DA2EFB"/>
    <w:rsid w:val="00F4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DFCF5"/>
  <w15:chartTrackingRefBased/>
  <w15:docId w15:val="{9F7B6824-2A56-4464-8D7F-4ADD4DFB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4A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Universidade do Porto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UP</cp:lastModifiedBy>
  <cp:revision>5</cp:revision>
  <dcterms:created xsi:type="dcterms:W3CDTF">2016-11-09T23:48:00Z</dcterms:created>
  <dcterms:modified xsi:type="dcterms:W3CDTF">2016-11-14T17:26:00Z</dcterms:modified>
</cp:coreProperties>
</file>